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C75D4" w14:textId="77777777" w:rsidR="00744E34" w:rsidRPr="00780655" w:rsidRDefault="00744E34" w:rsidP="00340324">
      <w:pPr>
        <w:pStyle w:val="Antrat2"/>
        <w:ind w:left="4111"/>
        <w:jc w:val="right"/>
        <w:rPr>
          <w:rFonts w:asciiTheme="minorHAnsi" w:eastAsia="Calibri" w:hAnsiTheme="minorHAnsi" w:cstheme="minorHAnsi"/>
          <w:color w:val="0070C0"/>
          <w:sz w:val="21"/>
          <w:szCs w:val="21"/>
        </w:rPr>
      </w:pPr>
      <w:bookmarkStart w:id="0" w:name="_Toc203663201"/>
      <w:r w:rsidRPr="00780655">
        <w:rPr>
          <w:rFonts w:asciiTheme="minorHAnsi" w:eastAsia="Calibri" w:hAnsiTheme="minorHAnsi" w:cstheme="minorHAnsi"/>
          <w:color w:val="0070C0"/>
          <w:sz w:val="21"/>
          <w:szCs w:val="21"/>
        </w:rPr>
        <w:t>Pirkimo sąlygų 1</w:t>
      </w:r>
      <w:r w:rsidR="006937CC">
        <w:rPr>
          <w:rFonts w:asciiTheme="minorHAnsi" w:eastAsia="Calibri" w:hAnsiTheme="minorHAnsi" w:cstheme="minorHAnsi"/>
          <w:color w:val="0070C0"/>
          <w:sz w:val="21"/>
          <w:szCs w:val="21"/>
        </w:rPr>
        <w:t>9</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Technologinio proceso garantija</w:t>
      </w:r>
      <w:r w:rsidRPr="009A0F53">
        <w:rPr>
          <w:rFonts w:asciiTheme="minorHAnsi" w:eastAsia="Calibri" w:hAnsiTheme="minorHAnsi" w:cstheme="minorHAnsi"/>
          <w:color w:val="0070C0"/>
          <w:sz w:val="21"/>
          <w:szCs w:val="21"/>
        </w:rPr>
        <w:t>“</w:t>
      </w:r>
      <w:bookmarkEnd w:id="0"/>
    </w:p>
    <w:p w14:paraId="08D115E5" w14:textId="77777777" w:rsidR="00744E34" w:rsidRDefault="00744E34" w:rsidP="001728BD">
      <w:pPr>
        <w:tabs>
          <w:tab w:val="left" w:pos="1145"/>
        </w:tabs>
        <w:jc w:val="center"/>
        <w:rPr>
          <w:rFonts w:cstheme="minorHAnsi"/>
          <w:b/>
          <w:bCs/>
          <w:sz w:val="24"/>
          <w:szCs w:val="24"/>
        </w:rPr>
      </w:pPr>
    </w:p>
    <w:p w14:paraId="5841976E" w14:textId="77777777" w:rsidR="002E3A14" w:rsidRPr="0065239B" w:rsidRDefault="002E3A14" w:rsidP="00340324">
      <w:pPr>
        <w:keepNext/>
        <w:keepLines/>
        <w:jc w:val="center"/>
        <w:rPr>
          <w:b/>
          <w:sz w:val="22"/>
          <w:szCs w:val="22"/>
        </w:rPr>
      </w:pPr>
      <w:r w:rsidRPr="0065239B">
        <w:rPr>
          <w:b/>
          <w:sz w:val="22"/>
          <w:szCs w:val="22"/>
        </w:rPr>
        <w:t>TECHNOLOGINIO PROCESO GARANTIJA</w:t>
      </w:r>
    </w:p>
    <w:p w14:paraId="320147E9" w14:textId="77777777" w:rsidR="002E3A14" w:rsidRDefault="002E3A14" w:rsidP="002E3A14">
      <w:pPr>
        <w:spacing w:after="60"/>
        <w:jc w:val="both"/>
        <w:rPr>
          <w:sz w:val="22"/>
          <w:szCs w:val="22"/>
        </w:rPr>
      </w:pPr>
      <w:r w:rsidRPr="0065239B">
        <w:rPr>
          <w:sz w:val="22"/>
          <w:szCs w:val="22"/>
        </w:rPr>
        <w:t>Mes, …………………………………….., šiuo raštu užtikriname, kad vienus metus (12 mėn.) nuo įrenginių perdavimo Užsakovui iš biologinio valymo įrenginių išleidžiamų valytų nuotekų kokybės rodiklių vidurkis,</w:t>
      </w:r>
      <w:r>
        <w:rPr>
          <w:sz w:val="22"/>
          <w:szCs w:val="22"/>
        </w:rPr>
        <w:t xml:space="preserve"> vertinant pagal specialiosios dalies techninėje specifikacijoje nurodytus reikalavimus</w:t>
      </w:r>
      <w:r w:rsidRPr="0065239B">
        <w:rPr>
          <w:sz w:val="22"/>
          <w:szCs w:val="22"/>
        </w:rPr>
        <w:t xml:space="preserve"> </w:t>
      </w:r>
      <w:r>
        <w:rPr>
          <w:sz w:val="22"/>
          <w:szCs w:val="22"/>
        </w:rPr>
        <w:t>neviršys lentelėje nustatytų išvalymo limitų.</w:t>
      </w:r>
    </w:p>
    <w:p w14:paraId="76308969" w14:textId="77777777" w:rsidR="002E3A14" w:rsidRPr="0065239B" w:rsidRDefault="002E3A14" w:rsidP="002E3A14">
      <w:pPr>
        <w:spacing w:after="60"/>
        <w:jc w:val="both"/>
        <w:rPr>
          <w:sz w:val="22"/>
          <w:szCs w:val="22"/>
        </w:rPr>
      </w:pPr>
      <w:r w:rsidRPr="0065239B">
        <w:rPr>
          <w:sz w:val="22"/>
          <w:szCs w:val="22"/>
        </w:rPr>
        <w:t>Mes suprantame, kad išleidžiamoms valytoms nuotekoms neatitinkant standartų reikalavimų Užsakovas patirs papildomų kaštų. Šiuo atveju, nuobaudą už išleidžiamų valytų nuotekų standartais nustatytų reikalavimų nevykdymą sudarys:</w:t>
      </w:r>
    </w:p>
    <w:p w14:paraId="3F148432" w14:textId="77777777" w:rsidR="002E3A14" w:rsidRPr="0065239B" w:rsidRDefault="002E3A14" w:rsidP="002E3A14">
      <w:pPr>
        <w:jc w:val="both"/>
        <w:rPr>
          <w:sz w:val="22"/>
          <w:szCs w:val="22"/>
        </w:rPr>
      </w:pPr>
      <w:r w:rsidRPr="0065239B">
        <w:rPr>
          <w:b/>
          <w:sz w:val="22"/>
          <w:szCs w:val="22"/>
        </w:rPr>
        <w:t>1.</w:t>
      </w:r>
      <w:r w:rsidRPr="0065239B">
        <w:rPr>
          <w:sz w:val="22"/>
          <w:szCs w:val="22"/>
        </w:rPr>
        <w:t xml:space="preserve">  Iki 5 proc. priimtos Sutarties kainos, bauda.</w:t>
      </w:r>
    </w:p>
    <w:p w14:paraId="1120402B" w14:textId="77777777" w:rsidR="002E3A14" w:rsidRPr="0065239B" w:rsidRDefault="002E3A14" w:rsidP="002E3A14">
      <w:pPr>
        <w:spacing w:after="60"/>
        <w:jc w:val="both"/>
        <w:rPr>
          <w:sz w:val="22"/>
          <w:szCs w:val="22"/>
        </w:rPr>
      </w:pPr>
      <w:r w:rsidRPr="0065239B">
        <w:rPr>
          <w:b/>
          <w:sz w:val="22"/>
          <w:szCs w:val="22"/>
        </w:rPr>
        <w:t>2.</w:t>
      </w:r>
      <w:r w:rsidRPr="0065239B">
        <w:rPr>
          <w:sz w:val="22"/>
          <w:szCs w:val="22"/>
        </w:rPr>
        <w:t xml:space="preserve"> Užsakovo kaštų, kuriuos šis patirtų dėl baudų ir (arba) mokesčio už pernelyg užterštas nuotekas išleidimo, suma.</w:t>
      </w:r>
    </w:p>
    <w:p w14:paraId="1D4A6879" w14:textId="77777777" w:rsidR="002E3A14" w:rsidRPr="0065239B" w:rsidRDefault="002E3A14" w:rsidP="002E3A14">
      <w:pPr>
        <w:spacing w:after="60"/>
        <w:jc w:val="both"/>
        <w:rPr>
          <w:sz w:val="22"/>
          <w:szCs w:val="22"/>
        </w:rPr>
      </w:pPr>
      <w:r w:rsidRPr="0065239B">
        <w:rPr>
          <w:sz w:val="22"/>
          <w:szCs w:val="22"/>
        </w:rPr>
        <w:t>1-jame punkte numatytos baudos suma priklauso nuo to, kokiu mastu faktinė išleidžiamų nuotekų kokybė neatitinka standartais nustatytų reikalavimų. Visa baudos suma, lygi 5 proc. galutinės Sutarties kainos be neišmokėtos nenumatytų išlaidų sumos, bus taikoma, jeigu deguonies poreikio potencialas (DSP) iš biologinio valymo įrenginių išleidžiamose valytose nuotekose garantijos veikimo metu prilygs arba viršys 125 proc. DSP rodiklio pagal išleidžiamų valytų nuotekų standarto reikalavimus, esant vienodam išleidžiamų nuotekų srauto vidurkiui.</w:t>
      </w:r>
    </w:p>
    <w:p w14:paraId="4A969BEF" w14:textId="77777777" w:rsidR="002E3A14" w:rsidRPr="0065239B" w:rsidRDefault="002E3A14" w:rsidP="002E3A14">
      <w:pPr>
        <w:spacing w:after="60"/>
        <w:jc w:val="both"/>
        <w:rPr>
          <w:sz w:val="22"/>
          <w:szCs w:val="22"/>
        </w:rPr>
      </w:pPr>
      <w:r w:rsidRPr="0065239B">
        <w:rPr>
          <w:sz w:val="22"/>
          <w:szCs w:val="22"/>
        </w:rPr>
        <w:t>Nuobauda už reikalavimų nevykdymą, kai rodikliai nesiekia 125 proc. standartais nustatytų limitų, nustatoma tiesiogiai proporcingai DSP rodiklio perviršiui, tačiau tik reikalaujamus rodiklius viršijančių parametrų pagrindu. Tai reiškia, kad parametras, kurio rodiklio vidurkis yra mažesnis už standartu nustatytą ribinį rodiklį, negali kompensuoti parametro, kurio rodiklis viršija standartu nustatytą vertę. Tai yra parodyta žemiau pateikiamame pavyzdyje:</w:t>
      </w:r>
    </w:p>
    <w:p w14:paraId="0EE8FF96" w14:textId="77777777" w:rsidR="00744E34" w:rsidRDefault="002E3A14" w:rsidP="002E3A14">
      <w:pPr>
        <w:tabs>
          <w:tab w:val="left" w:pos="1145"/>
        </w:tabs>
        <w:rPr>
          <w:rFonts w:cstheme="minorHAnsi"/>
          <w:b/>
          <w:bCs/>
          <w:sz w:val="24"/>
          <w:szCs w:val="24"/>
        </w:rPr>
      </w:pPr>
      <w:r>
        <w:rPr>
          <w:rFonts w:cstheme="minorHAnsi"/>
          <w:b/>
          <w:bCs/>
          <w:noProof/>
          <w:sz w:val="24"/>
          <w:szCs w:val="24"/>
        </w:rPr>
        <w:drawing>
          <wp:inline distT="0" distB="0" distL="0" distR="0" wp14:anchorId="188A4352" wp14:editId="0B456F51">
            <wp:extent cx="5410835" cy="1533525"/>
            <wp:effectExtent l="0" t="0" r="0"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0835" cy="1533525"/>
                    </a:xfrm>
                    <a:prstGeom prst="rect">
                      <a:avLst/>
                    </a:prstGeom>
                    <a:noFill/>
                  </pic:spPr>
                </pic:pic>
              </a:graphicData>
            </a:graphic>
          </wp:inline>
        </w:drawing>
      </w:r>
    </w:p>
    <w:p w14:paraId="1BA1D637" w14:textId="77777777" w:rsidR="002E3A14" w:rsidRPr="0065239B" w:rsidRDefault="002E3A14" w:rsidP="002E3A14">
      <w:pPr>
        <w:spacing w:after="60"/>
        <w:rPr>
          <w:sz w:val="22"/>
          <w:szCs w:val="22"/>
        </w:rPr>
      </w:pPr>
      <w:r w:rsidRPr="0065239B">
        <w:rPr>
          <w:sz w:val="22"/>
          <w:szCs w:val="22"/>
        </w:rPr>
        <w:t>2-ame punkte numatytos prievolės vykdymas susideda iš dviejų dalių:</w:t>
      </w:r>
    </w:p>
    <w:p w14:paraId="2AA3C2B7" w14:textId="77777777" w:rsidR="002E3A14" w:rsidRPr="0065239B" w:rsidRDefault="002E3A14" w:rsidP="002E3A14">
      <w:pPr>
        <w:numPr>
          <w:ilvl w:val="0"/>
          <w:numId w:val="31"/>
        </w:numPr>
        <w:spacing w:after="60" w:line="240" w:lineRule="auto"/>
        <w:jc w:val="both"/>
        <w:rPr>
          <w:sz w:val="22"/>
          <w:szCs w:val="22"/>
        </w:rPr>
      </w:pPr>
      <w:r w:rsidRPr="0065239B">
        <w:rPr>
          <w:sz w:val="22"/>
          <w:szCs w:val="22"/>
        </w:rPr>
        <w:t>Finansinių sankcijų arba finansinio perviršio, kurį Užsakovas patirtų garantijos laikotarpio metu, sumokėjimas.</w:t>
      </w:r>
    </w:p>
    <w:p w14:paraId="6771ABF0" w14:textId="77777777" w:rsidR="002E3A14" w:rsidRPr="0065239B" w:rsidRDefault="002E3A14" w:rsidP="002E3A14">
      <w:pPr>
        <w:numPr>
          <w:ilvl w:val="0"/>
          <w:numId w:val="31"/>
        </w:numPr>
        <w:spacing w:after="60" w:line="240" w:lineRule="auto"/>
        <w:jc w:val="both"/>
        <w:rPr>
          <w:sz w:val="22"/>
          <w:szCs w:val="22"/>
        </w:rPr>
      </w:pPr>
      <w:r w:rsidRPr="0065239B">
        <w:rPr>
          <w:sz w:val="22"/>
          <w:szCs w:val="22"/>
        </w:rPr>
        <w:t xml:space="preserve">Vienkartinis mokėjimas, kuriuo padengiamos būsimos baudos ir (arba) perviršio mokestis, skaičiuojamas tokiu pačiu pagrindu, kaip ir kapitalizuotos eksploatavimo išlaidos. Kaip skaičiavimų pagrindas yra naudojamas Užsakovo garantijos laikotarpio metu patirtų baudų / perviršio mokesčio metų vidurkis. </w:t>
      </w:r>
      <w:r w:rsidRPr="0065239B">
        <w:rPr>
          <w:sz w:val="22"/>
          <w:szCs w:val="22"/>
        </w:rPr>
        <w:lastRenderedPageBreak/>
        <w:t>Vienkartinio mokėjimo sumą sudaro kapitalizuotas (kapitalizacijos koeficientas KK=12) paskaičiuoto baudų / perviršio mokesčio metų vidurkis, padidintas 20%, atsižvelgiant į tai, kad neatitikimo standartų reikalavimams mastas, augant nuotekų srautui ir apkrovimui, gali padidėti.</w:t>
      </w:r>
    </w:p>
    <w:p w14:paraId="0EDDFEA4" w14:textId="77777777" w:rsidR="002E3A14" w:rsidRPr="0065239B" w:rsidRDefault="002E3A14" w:rsidP="002E3A14">
      <w:pPr>
        <w:jc w:val="both"/>
        <w:rPr>
          <w:sz w:val="22"/>
          <w:szCs w:val="22"/>
        </w:rPr>
      </w:pPr>
      <w:r w:rsidRPr="0065239B">
        <w:rPr>
          <w:sz w:val="22"/>
          <w:szCs w:val="22"/>
        </w:rPr>
        <w:t xml:space="preserve">Finansinės sankcijos tampa mokėtinomis pasibaigus garantijos laikui, </w:t>
      </w:r>
      <w:proofErr w:type="spellStart"/>
      <w:r w:rsidRPr="0065239B">
        <w:rPr>
          <w:sz w:val="22"/>
          <w:szCs w:val="22"/>
        </w:rPr>
        <w:t>t.y</w:t>
      </w:r>
      <w:proofErr w:type="spellEnd"/>
      <w:r w:rsidRPr="0065239B">
        <w:rPr>
          <w:sz w:val="22"/>
          <w:szCs w:val="22"/>
        </w:rPr>
        <w:t>. po vienų metų nuo darbų perdavimo.</w:t>
      </w:r>
    </w:p>
    <w:p w14:paraId="757E94FE" w14:textId="77777777" w:rsidR="002E3A14" w:rsidRPr="0065239B" w:rsidRDefault="002E3A14" w:rsidP="002E3A14">
      <w:pPr>
        <w:pStyle w:val="text"/>
        <w:widowControl/>
        <w:spacing w:before="0" w:line="240" w:lineRule="auto"/>
        <w:jc w:val="left"/>
        <w:rPr>
          <w:rFonts w:ascii="Times New Roman" w:hAnsi="Times New Roman" w:cs="Times New Roman"/>
          <w:sz w:val="22"/>
          <w:szCs w:val="22"/>
          <w:lang w:val="lt-LT"/>
        </w:rPr>
      </w:pPr>
    </w:p>
    <w:p w14:paraId="1426D60D" w14:textId="77777777" w:rsidR="002E3A14" w:rsidRPr="0065239B" w:rsidRDefault="002E3A14" w:rsidP="002E3A14">
      <w:pPr>
        <w:pStyle w:val="text"/>
        <w:widowControl/>
        <w:spacing w:before="0" w:line="240" w:lineRule="auto"/>
        <w:jc w:val="left"/>
        <w:rPr>
          <w:rFonts w:ascii="Times New Roman" w:hAnsi="Times New Roman" w:cs="Times New Roman"/>
          <w:sz w:val="22"/>
          <w:szCs w:val="22"/>
          <w:lang w:val="lt-LT"/>
        </w:rPr>
      </w:pPr>
      <w:r w:rsidRPr="0065239B">
        <w:rPr>
          <w:rFonts w:ascii="Times New Roman" w:hAnsi="Times New Roman" w:cs="Times New Roman"/>
          <w:sz w:val="22"/>
          <w:szCs w:val="22"/>
          <w:lang w:val="lt-LT"/>
        </w:rPr>
        <w:t>Įgalioto asmens vardas, pavardė, parašas: ..........................................................................………........</w:t>
      </w:r>
    </w:p>
    <w:p w14:paraId="30EE7B47" w14:textId="77777777" w:rsidR="002E3A14" w:rsidRPr="0065239B" w:rsidRDefault="002E3A14" w:rsidP="002E3A14">
      <w:pPr>
        <w:pStyle w:val="text"/>
        <w:widowControl/>
        <w:spacing w:before="0" w:line="240" w:lineRule="auto"/>
        <w:jc w:val="left"/>
        <w:rPr>
          <w:rFonts w:ascii="Times New Roman" w:hAnsi="Times New Roman" w:cs="Times New Roman"/>
          <w:sz w:val="22"/>
          <w:szCs w:val="22"/>
          <w:lang w:val="lt-LT"/>
        </w:rPr>
      </w:pPr>
    </w:p>
    <w:p w14:paraId="2EBF463E" w14:textId="678C9C91" w:rsidR="00744E34" w:rsidRPr="005375DA" w:rsidRDefault="002E3A14" w:rsidP="005375DA">
      <w:pPr>
        <w:pStyle w:val="text"/>
        <w:widowControl/>
        <w:spacing w:before="0" w:line="240" w:lineRule="auto"/>
        <w:jc w:val="left"/>
        <w:rPr>
          <w:rFonts w:ascii="Times New Roman" w:hAnsi="Times New Roman" w:cs="Times New Roman"/>
          <w:sz w:val="22"/>
          <w:szCs w:val="22"/>
          <w:lang w:val="lt-LT"/>
        </w:rPr>
      </w:pPr>
      <w:r w:rsidRPr="0065239B">
        <w:rPr>
          <w:rFonts w:ascii="Times New Roman" w:hAnsi="Times New Roman" w:cs="Times New Roman"/>
          <w:sz w:val="22"/>
          <w:szCs w:val="22"/>
          <w:lang w:val="lt-LT"/>
        </w:rPr>
        <w:t>Data: .................................</w:t>
      </w:r>
    </w:p>
    <w:sectPr w:rsidR="00744E34" w:rsidRPr="005375DA" w:rsidSect="00340324">
      <w:headerReference w:type="default" r:id="rId12"/>
      <w:headerReference w:type="first" r:id="rId13"/>
      <w:footerReference w:type="first" r:id="rId1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72A7D" w14:textId="77777777" w:rsidR="00CB1BCB" w:rsidRDefault="00CB1BCB" w:rsidP="00D05666">
      <w:r>
        <w:separator/>
      </w:r>
    </w:p>
  </w:endnote>
  <w:endnote w:type="continuationSeparator" w:id="0">
    <w:p w14:paraId="4B4AA1FB" w14:textId="77777777" w:rsidR="00CB1BCB" w:rsidRDefault="00CB1BCB" w:rsidP="00D05666">
      <w:r>
        <w:continuationSeparator/>
      </w:r>
    </w:p>
  </w:endnote>
  <w:endnote w:type="continuationNotice" w:id="1">
    <w:p w14:paraId="51AD22E4" w14:textId="77777777" w:rsidR="00CB1BCB" w:rsidRDefault="00CB1B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E706" w14:textId="77777777" w:rsidR="00EE0689" w:rsidRDefault="00EE0689">
    <w:pPr>
      <w:pStyle w:val="Porat"/>
      <w:jc w:val="right"/>
    </w:pPr>
  </w:p>
  <w:p w14:paraId="693FDB0C"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D659A" w14:textId="77777777" w:rsidR="00CB1BCB" w:rsidRDefault="00CB1BCB" w:rsidP="00D05666">
      <w:r>
        <w:separator/>
      </w:r>
    </w:p>
  </w:footnote>
  <w:footnote w:type="continuationSeparator" w:id="0">
    <w:p w14:paraId="42DA4761" w14:textId="77777777" w:rsidR="00CB1BCB" w:rsidRDefault="00CB1BCB" w:rsidP="00D05666">
      <w:r>
        <w:continuationSeparator/>
      </w:r>
    </w:p>
  </w:footnote>
  <w:footnote w:type="continuationNotice" w:id="1">
    <w:p w14:paraId="21172BBA" w14:textId="77777777" w:rsidR="00CB1BCB" w:rsidRDefault="00CB1B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2709903"/>
      <w:docPartObj>
        <w:docPartGallery w:val="Page Numbers (Top of Page)"/>
        <w:docPartUnique/>
      </w:docPartObj>
    </w:sdtPr>
    <w:sdtContent>
      <w:p w14:paraId="7D994130" w14:textId="597D10CB" w:rsidR="00340324" w:rsidRDefault="00340324">
        <w:pPr>
          <w:pStyle w:val="Antrats"/>
          <w:jc w:val="center"/>
        </w:pPr>
        <w:r>
          <w:fldChar w:fldCharType="begin"/>
        </w:r>
        <w:r>
          <w:instrText>PAGE   \* MERGEFORMAT</w:instrText>
        </w:r>
        <w:r>
          <w:fldChar w:fldCharType="separate"/>
        </w:r>
        <w:r>
          <w:t>2</w:t>
        </w:r>
        <w:r>
          <w:fldChar w:fldCharType="end"/>
        </w:r>
      </w:p>
    </w:sdtContent>
  </w:sdt>
  <w:p w14:paraId="40514469" w14:textId="77777777" w:rsidR="00340324" w:rsidRDefault="0034032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9887" w14:textId="68E51ECB" w:rsidR="00340324" w:rsidRDefault="00340324">
    <w:pPr>
      <w:pStyle w:val="Antrats"/>
      <w:jc w:val="center"/>
    </w:pPr>
  </w:p>
  <w:p w14:paraId="61BE3FCD" w14:textId="77777777" w:rsidR="00340324" w:rsidRDefault="0034032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6"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5"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583951078">
    <w:abstractNumId w:val="12"/>
  </w:num>
  <w:num w:numId="2" w16cid:durableId="1206063235">
    <w:abstractNumId w:val="7"/>
  </w:num>
  <w:num w:numId="3" w16cid:durableId="1120874380">
    <w:abstractNumId w:val="24"/>
  </w:num>
  <w:num w:numId="4" w16cid:durableId="204097552">
    <w:abstractNumId w:val="22"/>
  </w:num>
  <w:num w:numId="5" w16cid:durableId="1925644828">
    <w:abstractNumId w:val="33"/>
  </w:num>
  <w:num w:numId="6" w16cid:durableId="914708821">
    <w:abstractNumId w:val="29"/>
  </w:num>
  <w:num w:numId="7" w16cid:durableId="1066417256">
    <w:abstractNumId w:val="6"/>
  </w:num>
  <w:num w:numId="8" w16cid:durableId="1783916621">
    <w:abstractNumId w:val="30"/>
  </w:num>
  <w:num w:numId="9" w16cid:durableId="1170483927">
    <w:abstractNumId w:val="27"/>
  </w:num>
  <w:num w:numId="10" w16cid:durableId="100225600">
    <w:abstractNumId w:val="19"/>
  </w:num>
  <w:num w:numId="11" w16cid:durableId="1583444651">
    <w:abstractNumId w:val="25"/>
  </w:num>
  <w:num w:numId="12" w16cid:durableId="126358340">
    <w:abstractNumId w:val="10"/>
  </w:num>
  <w:num w:numId="13" w16cid:durableId="503980360">
    <w:abstractNumId w:val="4"/>
  </w:num>
  <w:num w:numId="14" w16cid:durableId="754014154">
    <w:abstractNumId w:val="5"/>
  </w:num>
  <w:num w:numId="15" w16cid:durableId="940257886">
    <w:abstractNumId w:val="31"/>
  </w:num>
  <w:num w:numId="16" w16cid:durableId="1618826357">
    <w:abstractNumId w:val="11"/>
  </w:num>
  <w:num w:numId="17" w16cid:durableId="210651548">
    <w:abstractNumId w:val="8"/>
  </w:num>
  <w:num w:numId="18" w16cid:durableId="1026055277">
    <w:abstractNumId w:val="35"/>
  </w:num>
  <w:num w:numId="19" w16cid:durableId="1421217082">
    <w:abstractNumId w:val="21"/>
  </w:num>
  <w:num w:numId="20" w16cid:durableId="1877888473">
    <w:abstractNumId w:val="34"/>
  </w:num>
  <w:num w:numId="21" w16cid:durableId="185560875">
    <w:abstractNumId w:val="18"/>
  </w:num>
  <w:num w:numId="22" w16cid:durableId="2069956466">
    <w:abstractNumId w:val="3"/>
  </w:num>
  <w:num w:numId="23" w16cid:durableId="34498194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147482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885839">
    <w:abstractNumId w:val="20"/>
  </w:num>
  <w:num w:numId="26" w16cid:durableId="1698894480">
    <w:abstractNumId w:val="23"/>
  </w:num>
  <w:num w:numId="27" w16cid:durableId="1167090400">
    <w:abstractNumId w:val="26"/>
  </w:num>
  <w:num w:numId="28" w16cid:durableId="505050309">
    <w:abstractNumId w:val="17"/>
  </w:num>
  <w:num w:numId="29" w16cid:durableId="736320209">
    <w:abstractNumId w:val="32"/>
  </w:num>
  <w:num w:numId="30" w16cid:durableId="2032493464">
    <w:abstractNumId w:val="16"/>
  </w:num>
  <w:num w:numId="31" w16cid:durableId="17059346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0727864">
    <w:abstractNumId w:val="28"/>
  </w:num>
  <w:num w:numId="33" w16cid:durableId="1464037214">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324"/>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5D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CBF"/>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23D"/>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CB"/>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09B"/>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1D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1816</Words>
  <Characters>1036</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MS vartotojas</dc:creator>
  <cp:keywords/>
  <dc:description/>
  <cp:lastModifiedBy>User</cp:lastModifiedBy>
  <cp:revision>3</cp:revision>
  <cp:lastPrinted>2025-05-06T06:36:00Z</cp:lastPrinted>
  <dcterms:created xsi:type="dcterms:W3CDTF">2025-07-25T07:40:00Z</dcterms:created>
  <dcterms:modified xsi:type="dcterms:W3CDTF">2025-07-25T08:18:00Z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